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F8" w:rsidRPr="009268F8" w:rsidRDefault="009268F8" w:rsidP="009268F8">
      <w:pPr>
        <w:spacing w:before="100" w:beforeAutospacing="1" w:after="100" w:afterAutospacing="1" w:line="240" w:lineRule="auto"/>
        <w:jc w:val="center"/>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Video: Watson adquiere Actavis Group por 4.250 millones de euros</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Crea la tercera mayor compañía de genéricos global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~8.000 millones de dólares anticipados en ingresos combinado pro forma en 2012 -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Aumenta significativamente la escala del negocio de genéricos ex estadounidense de Watson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Acelera el crecimiento de ingresos y ganancias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Inmediatamente acumulativa para las ganancias no GAAP, antes de sinergias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Mayor de 300 millones de dólares en sinergias anuales anticipadas en 3 años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Fuerte flujo de caja combinado permite un rápido pago de la deuda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i/>
          <w:iCs/>
          <w:sz w:val="24"/>
          <w:szCs w:val="24"/>
        </w:rPr>
        <w:t>- Contingente de ganancia adicional sobre el rendimiento de Actavis 2012 -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PARSIPPANY, Nueva Jersey, 26 de abril de 2012 /PRNewswire/ -- Watson Pharmaceuticals, Inc. (NYSE: WPI) y Actavis Group han anunciado hoy conjuntamente que Watson ha entrado en un acuerdo definitivo para adquirir la privada Actavis por un pago adelantado de 4.250 millones de euros. Como resultado de esta adquisición, Watson se convertirá en la tercera mayor compañía de genéricos con unos ingresos pro forma anticipados en 2012 de aproximadamente 8.000 millones de dólares.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Para ver los activos multimedia asociados con este comunicado, haga clic en: </w:t>
      </w:r>
      <w:hyperlink r:id="rId5" w:history="1">
        <w:r w:rsidRPr="009268F8">
          <w:rPr>
            <w:rFonts w:ascii="Times New Roman" w:eastAsia="Times New Roman" w:hAnsi="Times New Roman" w:cs="Times New Roman"/>
            <w:color w:val="0000FF"/>
            <w:sz w:val="24"/>
            <w:szCs w:val="24"/>
            <w:u w:val="single"/>
          </w:rPr>
          <w:t>http://www.multivu.com/mnr/55267-Watson-Pharmaceuticals-Acquires-Actavis</w:t>
        </w:r>
      </w:hyperlink>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Actavis, como compañía independiente y posicionada para un fuerte crecimiento, tiene presencia comercial en más de 40 países y comercializa más de 1.000 productos globalmente. Actavis tiene aproximadamente 300 proyectos en su línea de desarrollo y ha fabricado más de 22.000 millones de dosis farmacéuticas en 2011. Actavis cuenta con más de 10.000 empleados en todo el mundo y tuvo unos ingresos en 2011 de aproximadamente 2.500 millones de dólares.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"La adquisición de Actavis creará la tercera mayor compañía de genéricos global, completando sustancialmente la expansión de Watson como compañía de genéricos global líder. Actavis mejora drásticamente nuestra posición comercial en una base global y aporta productos y capacidades complementarias en Estados Unidos", dijo Paul M. Bisaro, director general y consejero delegado de Watson.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"En una transacción única y comercialmente competitiva, más que duplicamos el acceso internacional de Watson y fortalecemos nuestra posición comercial en mercados europeos establecidos clave así como mercados de crecimiento emergentes, como los de Europa central y oriental y Rusia", continuó Bisaro. "La transacción logra el objetivo estratégico estipulado de Watson de expandir y diversificar nuestro negocio en una compañía verdaderamente global. Una </w:t>
      </w:r>
      <w:r w:rsidRPr="009268F8">
        <w:rPr>
          <w:rFonts w:ascii="Times New Roman" w:eastAsia="Times New Roman" w:hAnsi="Times New Roman" w:cs="Times New Roman"/>
          <w:sz w:val="24"/>
          <w:szCs w:val="24"/>
        </w:rPr>
        <w:lastRenderedPageBreak/>
        <w:t>vez que la transacción se complete, aproximadamente el 40% de nuestros ingresos genéricos vendrán de mercados de fuera de EE.UU.".</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"Esta transacción es financieramente competitiva, acelerando el perfil de crecimiento superior y de línea base de Watson para el futuro predecible. Será inmediatamente acumulativa para las ganancias no GAAP antes de sinergias y estimamos que las sinergias anuales superiores a 300 millones de dólares pueden lograrse en tres años. Entre ahora y el cierre, trabajaremos estrechamente con la directiva de Actavis para preparar una integración rápida e integrada de modo que Watson pueda maximizar los beneficios de esta adquisición y capitalizar el significativo potencial para asegurar el crecimiento a largo plazo de nuestros accionistas".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"Hoy marca un hito en la historia de Actavis. Durante dos años he tenido el placer de trabajar junto con el recientemente formado equipo directivo de Actavis y nuestras partes implicadas, que han llevado a la compañía a una nueva fase", dijo Claudio Albrecht, presidente ejecutivo y consejero delegado de Actavis. "Hemos situado con éxito a Actavis en una sólida posición para cubrir las futuras oportunidades de crecimiento en la industria farmacéutica de los genéricos".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"Basándose en esta sólida base, la combinación de Watson y Actavis resultará en una compañía del tamaño requerido para posicionarse como un fuerte agente en la industria farmacéutica de genéricos. Las dos compañías son un complemento ideal que permitirá a la compañía combinada mejorar su posición entre los líderes de la industria. Además, juntas, Watson y Actavis estarán bien posicionadas en el mercado de los biosimilares de rápido ritmo y dinámica", dijo Albrecht.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"Felicito a Watson por la adquisición de Actavis", indicó Thor Bjorgolfsson, presidente de la firma de inversión Novator, el mayor accionista de Actavis desde hace una década. "Haber sido parte de Actavis desde el momento que tenía unos beneficios de 20 millones de euros que crecieron hasta los 2.000 millones de euros ha sido un viaje lleno de aventuras y completamente enriquecedor.</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"He visto una gran oportunidad en la combinación de estas compañías, y ha trabajado sin descanso en los últimos meses para hacer que esto fuera posible. Nosotros, los accionistas, estamos contentos de tomar en consideración las acciones ordinarias de Watson ya que pensamos en el valor futuro y prospectos de crecimiento de esta gran combinación de activos y talento. Se trata de una combinación de ensueño dentro de la industria", añadió Bjorgolfsson.</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Beneficios clave de la transacción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Transacción comercialmente competitiva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Mejora drásticamente la presencia internacional de Watson  </w:t>
      </w:r>
    </w:p>
    <w:p w:rsidR="009268F8" w:rsidRPr="009268F8" w:rsidRDefault="009268F8" w:rsidP="009268F8">
      <w:pPr>
        <w:numPr>
          <w:ilvl w:val="0"/>
          <w:numId w:val="1"/>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La adquisición combina dos compañías en crecimiento, exitosas y rentables en un agente global más fuerte que se beneficiará de un crecimiento sostenible de los ingresos y ganancias, y un fuerte flujo de efectivo. Con esta transacción, los ingresos internacionales de Watson aumentarán desde aproximadamente el 16% del total de los ingresos genéricos al final de 2011 a aproximadamente el 40%. </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Presencia expandida en el mercado global </w:t>
      </w:r>
    </w:p>
    <w:p w:rsidR="009268F8" w:rsidRPr="009268F8" w:rsidRDefault="009268F8" w:rsidP="009268F8">
      <w:pPr>
        <w:numPr>
          <w:ilvl w:val="0"/>
          <w:numId w:val="2"/>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La compañía combinada ocupará la tercera posición en 11 mercados y la quinta en 15 mercados. La compañía combinada tendrá operaciones comerciales en más de 40 países. La excepcional fuerza global de Actavis, incluyendo las posiciones líderes en mercados comerciales establecidos y mercados emergentes en Europa central y oriental y Rusia, complementa la posición de Watson en mercados establecidos, entre ellos el Reino Unido, Francia y Australia. </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Cartera y línea de negocio expandida </w:t>
      </w:r>
    </w:p>
    <w:p w:rsidR="009268F8" w:rsidRPr="009268F8" w:rsidRDefault="009268F8" w:rsidP="009268F8">
      <w:pPr>
        <w:numPr>
          <w:ilvl w:val="0"/>
          <w:numId w:val="3"/>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La adquisición expandirá la posición de liderazgo de Watson en productos de liberación modificada, dosis oral sólida y productos transdermales en semi-sólidos, líquidos e inyectables. El resultado será una cartera de productos globales más amplia y diversificada, y una línea de desarrollo expandida.  Cuando se combine, la compañía tendrá 45 First-to-Files y 30 First-to-Files exclusivos en Estados Unidos.</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Transacción financieramente competitiva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Significativa e inmediatamente acumulativa </w:t>
      </w:r>
    </w:p>
    <w:p w:rsidR="009268F8" w:rsidRPr="009268F8" w:rsidRDefault="009268F8" w:rsidP="009268F8">
      <w:pPr>
        <w:numPr>
          <w:ilvl w:val="0"/>
          <w:numId w:val="4"/>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La transacción será inmediatamente acumulativa para las ganancias no GAAP, antes de sinergias. Incluyendo las sinergias, Watson anticipa que la adquisición será mayor que un 30% acumulativa para las EPS no GAAP de Watson en 2013, con la acumulación acelerándose en 2014 mediante el crecimiento orgánico y consecución mayor de sinergias. </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Las sinergias ofrecen beneficios añadidos  </w:t>
      </w:r>
    </w:p>
    <w:p w:rsidR="009268F8" w:rsidRPr="009268F8" w:rsidRDefault="009268F8" w:rsidP="009268F8">
      <w:pPr>
        <w:numPr>
          <w:ilvl w:val="0"/>
          <w:numId w:val="5"/>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Watson espera lograr sinergias anuales de 300 millones de dólares en tres años tras el cierre de la transacción, consistiendo predominantemente en costes generales y administrativos, I+D y sinergias de coste corporativo.</w:t>
      </w:r>
    </w:p>
    <w:p w:rsidR="009268F8" w:rsidRPr="009268F8" w:rsidRDefault="009268F8" w:rsidP="009268F8">
      <w:pPr>
        <w:numPr>
          <w:ilvl w:val="0"/>
          <w:numId w:val="5"/>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Watson espera sinergias de coste a plazo más largo adicionales relacionadas con optimizar la cadena de suministro y sinergias de ingresos a plazo más largo adicionales derivadas de lanzamientos de producto en nuevos mercados. Watson también espera beneficiarse de una tasa fiscal efectiva no GAAP pro forma más baja de aproximadamente el 28%. </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El fuerte flujo de efectivo combinado permite un rápido repago de la deuda </w:t>
      </w:r>
    </w:p>
    <w:p w:rsidR="009268F8" w:rsidRPr="009268F8" w:rsidRDefault="009268F8" w:rsidP="009268F8">
      <w:pPr>
        <w:numPr>
          <w:ilvl w:val="0"/>
          <w:numId w:val="6"/>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El flujo de efectivo del negocio combinado se prevé que permita a Watson pagar la deuda rápidamente para lograr una relación de apalancamiento por debajo de tres veces la deuda para el EBITDA ajustado en 2013 y aproximadamente dos veces la deuda para el EBITDA ajustado en 2014. Watson espera mantener su grado de inversión desde las tres agencias de tasación tras el cierre de la transacción.  </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Capacidades adicionales, fuerza global de la directiva/empleados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Fortalece los negocios de terceros </w:t>
      </w:r>
    </w:p>
    <w:p w:rsidR="009268F8" w:rsidRPr="009268F8" w:rsidRDefault="009268F8" w:rsidP="009268F8">
      <w:pPr>
        <w:numPr>
          <w:ilvl w:val="0"/>
          <w:numId w:val="7"/>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La adición del negocio de terceras partes MEDIS de Actavis amplía de forma considerable la cartera de concesión de licencias de la compañía.</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Equipo de gestión internacional experimentado</w:t>
      </w:r>
    </w:p>
    <w:p w:rsidR="009268F8" w:rsidRPr="009268F8" w:rsidRDefault="009268F8" w:rsidP="009268F8">
      <w:pPr>
        <w:numPr>
          <w:ilvl w:val="0"/>
          <w:numId w:val="8"/>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La combinación de Watson y Actavis expande drásticamente la experiencia de la directiva necesaria para impulsar el crecimiento internacional en mercados establecidos y emergentes. Actavis también lleva la experiencia de integración a la combinación, tras centrarse extensivamente en la integración de adquisiciones históricas desde que pasó a ser privada en 2007, incluyendo consolidar las funciones corporativas, fusionando las operaciones de la CEE y Europa occidental e implementando la gestión de proyectos en la cadena de valor. </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 xml:space="preserve">Equipo global expandido </w:t>
      </w:r>
    </w:p>
    <w:p w:rsidR="009268F8" w:rsidRPr="009268F8" w:rsidRDefault="009268F8" w:rsidP="009268F8">
      <w:pPr>
        <w:numPr>
          <w:ilvl w:val="0"/>
          <w:numId w:val="9"/>
        </w:numPr>
        <w:spacing w:before="100" w:beforeAutospacing="1" w:after="100" w:afterAutospacing="1" w:line="240" w:lineRule="auto"/>
        <w:ind w:left="920"/>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Combinada, Watson tendrá más de 17.000 empleados globalmente. La Compañía al cierre de la adquisición tendrá aproximadamente 20 plantas de fabricación y más de una docena de centros I+D. Con un tamaño y escala mejorados, la compañía combinada será bien posicionada en sus capacidades comerciales, I+D, fabricación y servicio al cliente.  </w:t>
      </w:r>
    </w:p>
    <w:p w:rsidR="009268F8" w:rsidRPr="009268F8" w:rsidRDefault="009268F8" w:rsidP="009268F8">
      <w:pPr>
        <w:spacing w:after="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Términos de la transacción</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lastRenderedPageBreak/>
        <w:t xml:space="preserve">Según los términos del acuerdo, Watson adquirirá Actavis por un pago anticipado de 4.250 millones de euros. Los accionistas de Actavis también podrían recibir una consideración adicional, contingente con que Actavis logre los niveles negociados de algunos objetivos de resultados para 2012. El pago de contingente, si se obtiene totalmente, podría resultar en la entrega de hasta 5,5 millones de acciones de las acciones comunes de Watson en 2013. Este pago contingente se estimó durante las negociaciones en 250 millones de euros, según un precio por acción de 60 dólares, utilizando una tasa de cambio de euros a dólares de 1,32.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Watson pretende financiar la parte de efectivo de la transacción mediante una combinación de préstamos y la emisión de bonos senior no asegurados. Watson tiene actualmente compromisos de préstamos de BofA Merrill Lynch y Wells Fargo Bank, N.A. pendiente de la ejecución de sus planes financieros finales.  Watson anticipa que la compañía combinada generará flujo de efectivo libre sustancial, permitiendo a Watson pagar la deuda rápidamente por debajo de tres veces la deuda con la EBITDA ajustado para 2013 y lograr un nivel de aproximadamente dos veces la deuda para el EBITDA ajustado en 2014.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Aprobaciones y oportunidad</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La adquisición estará sujeta a condiciones de aduana, incluyendo la revisión por la U.S. Federal Trade Commission (FTC) bajo las provisiones de la Hart-Scott-Rodino Antitrust Improvements Act of 1976, modificadas ("HSR Act"), así como aprobaciones fuera de Estados Unidos. Pendiente de aprobaciones, Watson anticipa el cierre de la transacción en el cuarto trimestre de 2012.</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BofA Merrill Lynch actúa como asesor financiero exclusivo y Latham &amp; Watkins LLP actúa como asesor legal para Watson en conexión con esta transacción. Blackstone Advisory Partners y Deutsche Bank han actuado como asesores financieros, mientras que Linklaters y Clifford Chance han actuado como asesores legales para Actavis en relación a esta transacción.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Conferencia telefónica</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La Compañía dará una conferencia telefónica, con diapositivas de apoyo disponibles mediante transmisión web, a partir de las 4:30 p.m. Eastern Daylight Time el 25 de abril de 2012 para analizar la adquisición propuesta. El número para acceder a la llamada es, desde EE.UU./Canadá +1-877-251-7980; Internacional +1-706-643-1573 y el ID de conferencia es 67192051. Para acceder a las diapositivas, visite el sitio web de relaciones con inversores de Watson en  </w:t>
      </w:r>
      <w:hyperlink r:id="rId6" w:history="1">
        <w:r w:rsidRPr="009268F8">
          <w:rPr>
            <w:rFonts w:ascii="Times New Roman" w:eastAsia="Times New Roman" w:hAnsi="Times New Roman" w:cs="Times New Roman"/>
            <w:color w:val="0000FF"/>
            <w:sz w:val="24"/>
            <w:szCs w:val="24"/>
            <w:u w:val="single"/>
          </w:rPr>
          <w:t>http://ir.watson.com</w:t>
        </w:r>
      </w:hyperlink>
      <w:r w:rsidRPr="009268F8">
        <w:rPr>
          <w:rFonts w:ascii="Times New Roman" w:eastAsia="Times New Roman" w:hAnsi="Times New Roman" w:cs="Times New Roman"/>
          <w:sz w:val="24"/>
          <w:szCs w:val="24"/>
        </w:rPr>
        <w:t xml:space="preserve">, o directamente en </w:t>
      </w:r>
      <w:hyperlink r:id="rId7" w:history="1">
        <w:r w:rsidRPr="009268F8">
          <w:rPr>
            <w:rFonts w:ascii="Times New Roman" w:eastAsia="Times New Roman" w:hAnsi="Times New Roman" w:cs="Times New Roman"/>
            <w:color w:val="0000FF"/>
            <w:sz w:val="24"/>
            <w:szCs w:val="24"/>
            <w:u w:val="single"/>
          </w:rPr>
          <w:t>http://www.videonewswire.com/event.asp?id=85954</w:t>
        </w:r>
      </w:hyperlink>
      <w:r w:rsidRPr="009268F8">
        <w:rPr>
          <w:rFonts w:ascii="Times New Roman" w:eastAsia="Times New Roman" w:hAnsi="Times New Roman" w:cs="Times New Roman"/>
          <w:sz w:val="24"/>
          <w:szCs w:val="24"/>
        </w:rPr>
        <w:t>.</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Una reproducción grabada de la conferencia estará disponible aproximadamente dos horas después de que finalice la llamada y estará disponible hasta las 00:00 h, hora del Este, el 9 de mayo de 2012. A la reproducción puede accederse marcando el +1-855-859-2056 e introduciendo el mismo ID de la conferencia. Desde localizaciones internacionales, puede acceder a la reproducción marcando el +1-404-537-3406.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Acerca de Watson Pharmaceuticals, Inc.</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lastRenderedPageBreak/>
        <w:t xml:space="preserve">Watson Pharmaceuticals, Inc. es una compañía farmacéutica integrada líder global. La compañía se dedica al desarrollo, fabricación y distribución de productos farmacéuticos genéricos y se especializa en farmacéuticos de marca centrados en urología y la salud de la mujer. Watson también está desarrollando productos biosimilares en salud de la mujer y oncología. Además, distribuimos productos farmacéuticos genéricos y de marca mediante nuestro negocio de Anda Distribution.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En 2011, Watson fue la tercera mayor compañía farmacéutica genérica en Estados Unidos. También tenemos operaciones comerciales en mercados internacionales clave, como Canadá, Europa occidental, Asia/Pacífico, Sudáfrica y Latinoamérica. Watson distribuye aproximadamente 8.500 unidades de mantenimiento de existencias en EE.UU. directamente a más de 60.000 clientes mediante nuestra Anda Distribution Division.</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Para ver el comunicado de prensa u otra información de la compañía, visite el sitio web de Watson Pharmaceuticals en </w:t>
      </w:r>
      <w:hyperlink r:id="rId8" w:history="1">
        <w:r w:rsidRPr="009268F8">
          <w:rPr>
            <w:rFonts w:ascii="Times New Roman" w:eastAsia="Times New Roman" w:hAnsi="Times New Roman" w:cs="Times New Roman"/>
            <w:color w:val="0000FF"/>
            <w:sz w:val="24"/>
            <w:szCs w:val="24"/>
            <w:u w:val="single"/>
          </w:rPr>
          <w:t>http://www.watson.com</w:t>
        </w:r>
      </w:hyperlink>
      <w:r w:rsidRPr="009268F8">
        <w:rPr>
          <w:rFonts w:ascii="Times New Roman" w:eastAsia="Times New Roman" w:hAnsi="Times New Roman" w:cs="Times New Roman"/>
          <w:sz w:val="24"/>
          <w:szCs w:val="24"/>
        </w:rPr>
        <w:t xml:space="preserve">.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Acerca de Actavis</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Actavis es una de las compañías más importantes del mundo en desarrollo, fabricación y venta de productos farmacéuticos genéricos.  La compañía tiene operaciones en más de 40 países y más de 10.000 empleados. Actualmente, Actavis tiene una cartera que incluye más de 1.000 medicamentos presentes en el mercado y registrados en más de 70 países.  </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b/>
          <w:bCs/>
          <w:sz w:val="24"/>
          <w:szCs w:val="24"/>
        </w:rPr>
        <w:t>Declaraciones prospectivas</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Las declaraciones contenidas en este comunicado que se refieren a los resultados futuros estimados o anticipados de Watson u otros hechos no históricos son declaraciones prospectivas que reflejan la actual perspectiva de Watson de tendencias e información existente en la fecha de este comunicado. Por ejemplo, las declaraciones de este comunicado sobre los beneficios esperados o inestimados de la adquisición de Actavis, el rendimiento financiero futuro de la compañía combinada, sinergias del coste, impuestos fiscales futuros, el pago de las obligaciones de la deuda y el cierre de la transacción son declaraciones prospectivas. Es importante señalar que los objetivos y expectativas de Watson no son predicciones del rendimiento real. Los resultados reales pueden diferir materialmente de las expectativas actuales de Watson dependiendo de una serie de factores que afectan a los negocios de Watson, el negocio de Actavis y riesgos asociados con las transacciones de adquisiciones. Estos factores son, entre otros, la incertidumbre inherente asociada con proyecciones financieras; el cierre de éxito y la integración posterior de la adquisición de Actavis y la capacidad de reconocer las sinergias anticipadas y beneficios de la adquisición de Actavis; la cuota de mercado anticipada de los mercados y la demanda continuada para productos de Watson y Actavis; el impacto de los productos y precios competitivos; el recibo de las aprobaciones regulatorias requeridas para la transacción (incluyendo la aprobación de las autoridades antimonopolio necesaria para completar la adquisición); acceso a la financiación disponible (incluyendo la financiación para la adquisición) en una base oportuna y en condiciones razonables; riesgos de fluctuaciones en las tasas de cambio de divisas; los riesgos e incertidumbres normalmente incidentes en la industria farmacéutica, incluyendo reclamaciones de pasivo de productos y la disponibilidad de seguros de </w:t>
      </w:r>
      <w:r w:rsidRPr="009268F8">
        <w:rPr>
          <w:rFonts w:ascii="Times New Roman" w:eastAsia="Times New Roman" w:hAnsi="Times New Roman" w:cs="Times New Roman"/>
          <w:sz w:val="24"/>
          <w:szCs w:val="24"/>
        </w:rPr>
        <w:lastRenderedPageBreak/>
        <w:t>pasivo de productos; la dificultad de predecir el tiempo o resultado de litigios pendientes o futuros o investigaciones gubernamentales; la dependencia periódica en un pequeño número de productos para una fuente material de ingresos o renta neta; la variabilidad de patrones de compra comercial; los cambios en principios de contabilidad generalmente aceptados; los riesgos de que los valores de activos puedan verse afectados negativamente por eventos o circunstancias futuras; la oportunidad y éxito de lanzamientos de productos; la dificultad de predecir la oportunidad o resultados de los esfuerzos de desarrollo de productos y las aprobaciones o acciones de la agencia regulatoria, si las hubiera; la aceptación de mercado y la demanda continuada de los productos de Watson y Actavis; los costes y esfuerzos para defender o reforzar los derechos de propiedad intelectual; las dificultades o retrasos en la fabricación; la disponibilidad y precio de productos y materiales de terceros; el cumplimiento de éxito con las regulaciones gubernamentales aplicables a las plantas, productos y/o negocios de Watson y Actavis; los cambios en las leyes y regulaciones, que afectan entre otras cosas al precio y reembolso de productos farmacéuticos; y otros riesgos e incertidumbres detallados en los documentos públicos periódicos de Watson presentados a la Comisión de Bolsa y Valores, incluyendo entre otros el Informe anual de Watson en formulario 10-K para el año finalizado el 31 de diciembre de 2011. Excepto que se requiera por ley, Watson rechaza cualquier intento u obligación de actualizar estas declaraciones prospectivas.</w:t>
      </w: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Todas las marcas comerciales son propiedad de sus respectivos dueños.  </w:t>
      </w:r>
    </w:p>
    <w:tbl>
      <w:tblPr>
        <w:tblW w:w="0" w:type="auto"/>
        <w:tblCellMar>
          <w:top w:w="15" w:type="dxa"/>
          <w:left w:w="15" w:type="dxa"/>
          <w:bottom w:w="15" w:type="dxa"/>
          <w:right w:w="15" w:type="dxa"/>
        </w:tblCellMar>
        <w:tblLook w:val="04A0"/>
      </w:tblPr>
      <w:tblGrid>
        <w:gridCol w:w="2229"/>
        <w:gridCol w:w="2853"/>
        <w:gridCol w:w="36"/>
        <w:gridCol w:w="36"/>
      </w:tblGrid>
      <w:tr w:rsidR="009268F8" w:rsidRPr="009268F8" w:rsidTr="009268F8">
        <w:tc>
          <w:tcPr>
            <w:tcW w:w="0" w:type="auto"/>
            <w:gridSpan w:val="3"/>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gridSpan w:val="2"/>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b/>
                <w:bCs/>
                <w:sz w:val="16"/>
              </w:rPr>
              <w:t xml:space="preserve">CONTACTOS DE WATSON: </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b/>
                <w:bCs/>
                <w:sz w:val="16"/>
              </w:rPr>
              <w:t>CONTACTO DE ACTAVIS:</w:t>
            </w:r>
            <w:r w:rsidRPr="009268F8">
              <w:rPr>
                <w:rFonts w:ascii="Arial" w:eastAsia="Times New Roman" w:hAnsi="Arial" w:cs="Arial"/>
                <w:sz w:val="16"/>
              </w:rPr>
              <w:t xml:space="preserve"> </w:t>
            </w: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b/>
                <w:bCs/>
                <w:sz w:val="16"/>
              </w:rPr>
              <w:t xml:space="preserve">Inversores: </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 xml:space="preserve">Frank Staud, vicepresidente ejecutivo, </w:t>
            </w: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 xml:space="preserve">Lisa Defrancesco </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Corporate Communications</w:t>
            </w: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 xml:space="preserve">+1-862-261-7152 </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+41-41-462-7370</w:t>
            </w: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 xml:space="preserve">Patty Eisenhaur </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+1-862-261-8141</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b/>
                <w:bCs/>
                <w:sz w:val="16"/>
              </w:rPr>
              <w:t>Medios:</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Charlie Mayr</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r w:rsidRPr="009268F8">
              <w:rPr>
                <w:rFonts w:ascii="Arial" w:eastAsia="Times New Roman" w:hAnsi="Arial" w:cs="Arial"/>
                <w:sz w:val="16"/>
              </w:rPr>
              <w:t>+1-862-261-8030</w:t>
            </w:r>
          </w:p>
        </w:tc>
        <w:tc>
          <w:tcPr>
            <w:tcW w:w="0" w:type="auto"/>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gridSpan w:val="2"/>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tcMar>
              <w:top w:w="0" w:type="dxa"/>
              <w:left w:w="15" w:type="dxa"/>
              <w:bottom w:w="0" w:type="dxa"/>
              <w:right w:w="15"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gridSpan w:val="3"/>
            <w:tcMar>
              <w:top w:w="0" w:type="dxa"/>
              <w:left w:w="100" w:type="dxa"/>
              <w:bottom w:w="0" w:type="dxa"/>
              <w:right w:w="40" w:type="dxa"/>
            </w:tcMar>
            <w:vAlign w:val="bottom"/>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r>
      <w:tr w:rsidR="009268F8" w:rsidRPr="009268F8" w:rsidTr="009268F8">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4"/>
                <w:szCs w:val="24"/>
              </w:rPr>
            </w:pPr>
          </w:p>
        </w:tc>
        <w:tc>
          <w:tcPr>
            <w:tcW w:w="0" w:type="auto"/>
            <w:vAlign w:val="center"/>
            <w:hideMark/>
          </w:tcPr>
          <w:p w:rsidR="009268F8" w:rsidRPr="009268F8" w:rsidRDefault="009268F8" w:rsidP="009268F8">
            <w:pPr>
              <w:spacing w:after="0" w:line="240" w:lineRule="auto"/>
              <w:rPr>
                <w:rFonts w:ascii="Times New Roman" w:eastAsia="Times New Roman" w:hAnsi="Times New Roman" w:cs="Times New Roman"/>
                <w:sz w:val="20"/>
                <w:szCs w:val="20"/>
              </w:rPr>
            </w:pPr>
          </w:p>
        </w:tc>
      </w:tr>
    </w:tbl>
    <w:p w:rsidR="009268F8" w:rsidRPr="009268F8" w:rsidRDefault="009268F8" w:rsidP="009268F8">
      <w:pPr>
        <w:spacing w:after="240" w:line="240" w:lineRule="auto"/>
        <w:rPr>
          <w:rFonts w:ascii="Times New Roman" w:eastAsia="Times New Roman" w:hAnsi="Times New Roman" w:cs="Times New Roman"/>
          <w:sz w:val="24"/>
          <w:szCs w:val="24"/>
        </w:rPr>
      </w:pPr>
    </w:p>
    <w:p w:rsidR="009268F8" w:rsidRPr="009268F8" w:rsidRDefault="009268F8" w:rsidP="009268F8">
      <w:pPr>
        <w:spacing w:before="100" w:beforeAutospacing="1" w:after="100" w:afterAutospacing="1" w:line="240" w:lineRule="auto"/>
        <w:rPr>
          <w:rFonts w:ascii="Times New Roman" w:eastAsia="Times New Roman" w:hAnsi="Times New Roman" w:cs="Times New Roman"/>
          <w:sz w:val="24"/>
          <w:szCs w:val="24"/>
        </w:rPr>
      </w:pPr>
      <w:r w:rsidRPr="009268F8">
        <w:rPr>
          <w:rFonts w:ascii="Times New Roman" w:eastAsia="Times New Roman" w:hAnsi="Times New Roman" w:cs="Times New Roman"/>
          <w:sz w:val="24"/>
          <w:szCs w:val="24"/>
        </w:rPr>
        <w:t xml:space="preserve">(Logo: </w:t>
      </w:r>
      <w:hyperlink r:id="rId9" w:history="1">
        <w:r w:rsidRPr="009268F8">
          <w:rPr>
            <w:rFonts w:ascii="Times New Roman" w:eastAsia="Times New Roman" w:hAnsi="Times New Roman" w:cs="Times New Roman"/>
            <w:color w:val="0000FF"/>
            <w:sz w:val="24"/>
            <w:szCs w:val="24"/>
            <w:u w:val="single"/>
          </w:rPr>
          <w:t>http://photos.prnewswire.com/prnh/20100121/LA41294LOGO</w:t>
        </w:r>
      </w:hyperlink>
      <w:r w:rsidRPr="009268F8">
        <w:rPr>
          <w:rFonts w:ascii="Times New Roman" w:eastAsia="Times New Roman" w:hAnsi="Times New Roman" w:cs="Times New Roman"/>
          <w:sz w:val="24"/>
          <w:szCs w:val="24"/>
        </w:rPr>
        <w:t>)</w:t>
      </w:r>
    </w:p>
    <w:p w:rsidR="00B75BCA" w:rsidRDefault="00B75BCA"/>
    <w:sectPr w:rsidR="00B75BCA" w:rsidSect="00B75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B1D"/>
    <w:multiLevelType w:val="multilevel"/>
    <w:tmpl w:val="C75E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E36DE"/>
    <w:multiLevelType w:val="multilevel"/>
    <w:tmpl w:val="4416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10A52"/>
    <w:multiLevelType w:val="multilevel"/>
    <w:tmpl w:val="5B26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656956"/>
    <w:multiLevelType w:val="multilevel"/>
    <w:tmpl w:val="C79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C5170C"/>
    <w:multiLevelType w:val="multilevel"/>
    <w:tmpl w:val="C3B6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E23663"/>
    <w:multiLevelType w:val="multilevel"/>
    <w:tmpl w:val="7AB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766179"/>
    <w:multiLevelType w:val="multilevel"/>
    <w:tmpl w:val="5528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8B7BA6"/>
    <w:multiLevelType w:val="multilevel"/>
    <w:tmpl w:val="E862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EF470A"/>
    <w:multiLevelType w:val="multilevel"/>
    <w:tmpl w:val="3D7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7"/>
  </w:num>
  <w:num w:numId="4">
    <w:abstractNumId w:val="1"/>
  </w:num>
  <w:num w:numId="5">
    <w:abstractNumId w:val="2"/>
  </w:num>
  <w:num w:numId="6">
    <w:abstractNumId w:val="5"/>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68F8"/>
    <w:rsid w:val="001F65C5"/>
    <w:rsid w:val="00297AFD"/>
    <w:rsid w:val="007B2DB8"/>
    <w:rsid w:val="008C4CE2"/>
    <w:rsid w:val="009268F8"/>
    <w:rsid w:val="00A57539"/>
    <w:rsid w:val="00B75BCA"/>
    <w:rsid w:val="00C50EAC"/>
    <w:rsid w:val="00D66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68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8F8"/>
    <w:rPr>
      <w:color w:val="0000FF"/>
      <w:u w:val="single"/>
    </w:rPr>
  </w:style>
  <w:style w:type="character" w:customStyle="1" w:styleId="prnewsspan">
    <w:name w:val="prnews_span"/>
    <w:basedOn w:val="DefaultParagraphFont"/>
    <w:rsid w:val="009268F8"/>
  </w:style>
</w:styles>
</file>

<file path=word/webSettings.xml><?xml version="1.0" encoding="utf-8"?>
<w:webSettings xmlns:r="http://schemas.openxmlformats.org/officeDocument/2006/relationships" xmlns:w="http://schemas.openxmlformats.org/wordprocessingml/2006/main">
  <w:divs>
    <w:div w:id="150368732">
      <w:bodyDiv w:val="1"/>
      <w:marLeft w:val="0"/>
      <w:marRight w:val="0"/>
      <w:marTop w:val="0"/>
      <w:marBottom w:val="0"/>
      <w:divBdr>
        <w:top w:val="none" w:sz="0" w:space="0" w:color="auto"/>
        <w:left w:val="none" w:sz="0" w:space="0" w:color="auto"/>
        <w:bottom w:val="none" w:sz="0" w:space="0" w:color="auto"/>
        <w:right w:val="none" w:sz="0" w:space="0" w:color="auto"/>
      </w:divBdr>
      <w:divsChild>
        <w:div w:id="1660886377">
          <w:marLeft w:val="200"/>
          <w:marRight w:val="0"/>
          <w:marTop w:val="0"/>
          <w:marBottom w:val="0"/>
          <w:divBdr>
            <w:top w:val="none" w:sz="0" w:space="0" w:color="auto"/>
            <w:left w:val="none" w:sz="0" w:space="0" w:color="auto"/>
            <w:bottom w:val="none" w:sz="0" w:space="0" w:color="auto"/>
            <w:right w:val="none" w:sz="0" w:space="0" w:color="auto"/>
          </w:divBdr>
        </w:div>
        <w:div w:id="295572345">
          <w:marLeft w:val="200"/>
          <w:marRight w:val="0"/>
          <w:marTop w:val="0"/>
          <w:marBottom w:val="0"/>
          <w:divBdr>
            <w:top w:val="none" w:sz="0" w:space="0" w:color="auto"/>
            <w:left w:val="none" w:sz="0" w:space="0" w:color="auto"/>
            <w:bottom w:val="none" w:sz="0" w:space="0" w:color="auto"/>
            <w:right w:val="none" w:sz="0" w:space="0" w:color="auto"/>
          </w:divBdr>
          <w:divsChild>
            <w:div w:id="1024287017">
              <w:marLeft w:val="0"/>
              <w:marRight w:val="0"/>
              <w:marTop w:val="0"/>
              <w:marBottom w:val="0"/>
              <w:divBdr>
                <w:top w:val="none" w:sz="0" w:space="0" w:color="auto"/>
                <w:left w:val="none" w:sz="0" w:space="0" w:color="auto"/>
                <w:bottom w:val="none" w:sz="0" w:space="0" w:color="auto"/>
                <w:right w:val="none" w:sz="0" w:space="0" w:color="auto"/>
              </w:divBdr>
              <w:divsChild>
                <w:div w:id="8277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son.com/" TargetMode="External"/><Relationship Id="rId3" Type="http://schemas.openxmlformats.org/officeDocument/2006/relationships/settings" Target="settings.xml"/><Relationship Id="rId7" Type="http://schemas.openxmlformats.org/officeDocument/2006/relationships/hyperlink" Target="http://www.videonewswire.com/event.asp?id=85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watsonpharm.com/" TargetMode="External"/><Relationship Id="rId11" Type="http://schemas.openxmlformats.org/officeDocument/2006/relationships/theme" Target="theme/theme1.xml"/><Relationship Id="rId5" Type="http://schemas.openxmlformats.org/officeDocument/2006/relationships/hyperlink" Target="http://www.multivu.com/mnr/55267-Watson-Pharmaceuticals-Acquires-Actavi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otos.prnewswire.com/prnh/20100121/LA41294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2698</Words>
  <Characters>15385</Characters>
  <Application>Microsoft Office Word</Application>
  <DocSecurity>0</DocSecurity>
  <Lines>128</Lines>
  <Paragraphs>36</Paragraphs>
  <ScaleCrop>false</ScaleCrop>
  <Company>PR Newswire Association, LLC</Company>
  <LinksUpToDate>false</LinksUpToDate>
  <CharactersWithSpaces>18047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Voelker</dc:creator>
  <cp:keywords/>
  <dc:description/>
  <cp:lastModifiedBy>Dawn Voelker</cp:lastModifiedBy>
  <cp:revision>1</cp:revision>
  <dcterms:created xsi:type="dcterms:W3CDTF">2012-04-26T20:38:00Z</dcterms:created>
  <dcterms:modified xsi:type="dcterms:W3CDTF">2012-04-26T20:38:00Z</dcterms:modified>
</cp:coreProperties>
</file>